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b/>
          <w:color w:val="B87333"/>
          <w:sz w:val="22"/>
        </w:rPr>
        <w:t>RUNTIME GOVERNANCE REFERENCE ARCHITECTURE</w:t>
      </w:r>
    </w:p>
    <w:p>
      <w:pPr>
        <w:spacing w:before="40" w:after="0"/>
      </w:pPr>
      <w:r>
        <w:rPr>
          <w:b/>
          <w:sz w:val="48"/>
        </w:rPr>
        <w:t>Healthcare</w:t>
      </w:r>
    </w:p>
    <w:p>
      <w:pPr>
        <w:spacing w:before="0" w:after="160"/>
      </w:pPr>
      <w:r>
        <w:rPr>
          <w:b w:val="0"/>
          <w:color w:val="334155"/>
          <w:sz w:val="26"/>
        </w:rPr>
        <w:t>Clinical Workflow Automation</w:t>
      </w:r>
    </w:p>
    <w:p>
      <w:r>
        <w:rPr>
          <w:color w:val="334155"/>
          <w:sz w:val="18"/>
        </w:rPr>
        <w:t>Reference pattern  |  Dan Mercede  |  Orion Intelligence Agency</w:t>
      </w:r>
    </w:p>
    <w:p>
      <w:pPr>
        <w:spacing w:before="200"/>
      </w:pPr>
      <w:r>
        <w:rPr>
          <w:i/>
          <w:color w:val="334155"/>
          <w:sz w:val="19"/>
        </w:rPr>
        <w:t>This document is an illustrative reference architecture. It describes a governance failure pattern and the enforcement controls that address it. It is not a record of a client engagement. It contains no measured outcomes, no client data, and no performance, cost, or risk-reduction claims.</w:t>
      </w:r>
    </w:p>
    <w:p>
      <w:pPr>
        <w:spacing w:before="280" w:after="80"/>
      </w:pPr>
      <w:r>
        <w:rPr>
          <w:b/>
          <w:color w:val="B87333"/>
          <w:sz w:val="28"/>
        </w:rPr>
        <w:t>1. Scenario</w:t>
      </w:r>
    </w:p>
    <w:p>
      <w:r>
        <w:t>A healthcare organization deploys AI-assisted clinical scheduling and triage workflows to manage patient flow across facilities. The agents handle appointment scheduling, triage prioritization, resource allocation, and clinical pathway routing.</w:t>
      </w:r>
    </w:p>
    <w:p>
      <w:r>
        <w:t>Governance gap: no behavioral constraints govern agent execution over time. Without drift detection, privilege accumulates across clinical data categories. With no authority decay mechanism, agents retain standing execution paths indefinitely, and triage decisions proceed without attestation or authority verification.</w:t>
      </w:r>
    </w:p>
    <w:p>
      <w:r>
        <w:t>Exposure profile: HIPAA exposure from ungoverned access to protected health information, patient safety implications from unconstrained scheduling mutations, and sustained manual clinical oversight required to compensate for the governance gaps.</w:t>
      </w:r>
    </w:p>
    <w:p>
      <w:pPr>
        <w:spacing w:before="280" w:after="80"/>
      </w:pPr>
      <w:r>
        <w:rPr>
          <w:b/>
          <w:color w:val="B87333"/>
          <w:sz w:val="28"/>
        </w:rPr>
        <w:t>2. Risk Constraints</w:t>
      </w:r>
    </w:p>
    <w:p>
      <w:pPr>
        <w:pStyle w:val="ListBullet"/>
      </w:pPr>
      <w:r>
        <w:t>HIPAA compliance requirements for all systems accessing protected health information (PHI)</w:t>
      </w:r>
    </w:p>
    <w:p>
      <w:pPr>
        <w:pStyle w:val="ListBullet"/>
      </w:pPr>
      <w:r>
        <w:t>Patient safety regulations governing clinical scheduling and triage decisioning</w:t>
      </w:r>
    </w:p>
    <w:p>
      <w:pPr>
        <w:pStyle w:val="ListBullet"/>
      </w:pPr>
      <w:r>
        <w:t>State-level healthcare data protection statutes</w:t>
      </w:r>
    </w:p>
    <w:p>
      <w:pPr>
        <w:pStyle w:val="ListBullet"/>
      </w:pPr>
      <w:r>
        <w:t>Standing execution paths accumulating unchecked capabilities across clinical data categories</w:t>
      </w:r>
    </w:p>
    <w:p>
      <w:pPr>
        <w:spacing w:before="280" w:after="80"/>
      </w:pPr>
      <w:r>
        <w:rPr>
          <w:b/>
          <w:color w:val="B87333"/>
          <w:sz w:val="28"/>
        </w:rPr>
        <w:t>3. Failure-Mode Heatmap</w:t>
      </w:r>
    </w:p>
    <w:tbl>
      <w:tblPr>
        <w:tblStyle w:val="LightGrid-Accent1"/>
        <w:tblW w:type="auto" w:w="0"/>
        <w:tblLook w:firstColumn="1" w:firstRow="1" w:lastColumn="0" w:lastRow="0" w:noHBand="0" w:noVBand="1" w:val="04A0"/>
      </w:tblPr>
      <w:tblGrid>
        <w:gridCol w:w="1872"/>
        <w:gridCol w:w="1296"/>
        <w:gridCol w:w="2880"/>
      </w:tblGrid>
      <w:tr>
        <w:tc>
          <w:tcPr>
            <w:tcW w:type="dxa" w:w="2880"/>
          </w:tcPr>
          <w:p>
            <w:r>
              <w:rPr>
                <w:b/>
              </w:rPr>
              <w:t>Layer</w:t>
            </w:r>
          </w:p>
        </w:tc>
        <w:tc>
          <w:tcPr>
            <w:tcW w:type="dxa" w:w="2880"/>
          </w:tcPr>
          <w:p>
            <w:r>
              <w:rPr>
                <w:b/>
              </w:rPr>
              <w:t>Severity</w:t>
            </w:r>
          </w:p>
        </w:tc>
        <w:tc>
          <w:tcPr>
            <w:tcW w:type="dxa" w:w="2880"/>
          </w:tcPr>
          <w:p>
            <w:r>
              <w:rPr>
                <w:b/>
              </w:rPr>
              <w:t>Failure Modes</w:t>
            </w:r>
          </w:p>
        </w:tc>
      </w:tr>
      <w:tr>
        <w:tc>
          <w:tcPr>
            <w:tcW w:type="dxa" w:w="2880"/>
          </w:tcPr>
          <w:p>
            <w:r>
              <w:t>Authority Gate</w:t>
            </w:r>
          </w:p>
        </w:tc>
        <w:tc>
          <w:tcPr>
            <w:tcW w:type="dxa" w:w="2880"/>
          </w:tcPr>
          <w:p>
            <w:r>
              <w:t>CRITICAL</w:t>
            </w:r>
          </w:p>
        </w:tc>
        <w:tc>
          <w:tcPr>
            <w:tcW w:type="dxa" w:w="2880"/>
          </w:tcPr>
          <w:p>
            <w:r>
              <w:t>Clinical triage decisions executed without authority verification. Scheduling mutations proceeding without verified authorization from clinical staff.</w:t>
            </w:r>
          </w:p>
        </w:tc>
      </w:tr>
      <w:tr>
        <w:tc>
          <w:tcPr>
            <w:tcW w:type="dxa" w:w="2880"/>
          </w:tcPr>
          <w:p>
            <w:r>
              <w:t>Immutable Receipts</w:t>
            </w:r>
          </w:p>
        </w:tc>
        <w:tc>
          <w:tcPr>
            <w:tcW w:type="dxa" w:w="2880"/>
          </w:tcPr>
          <w:p>
            <w:r>
              <w:t>CRITICAL</w:t>
            </w:r>
          </w:p>
        </w:tc>
        <w:tc>
          <w:tcPr>
            <w:tcW w:type="dxa" w:w="2880"/>
          </w:tcPr>
          <w:p>
            <w:r>
              <w:t>PHI access and mutations logged without cryptographic attestation. HIPAA audit trail structurally insufficient for regulatory defensibility.</w:t>
            </w:r>
          </w:p>
        </w:tc>
      </w:tr>
      <w:tr>
        <w:tc>
          <w:tcPr>
            <w:tcW w:type="dxa" w:w="2880"/>
          </w:tcPr>
          <w:p>
            <w:r>
              <w:t>Drift Guard</w:t>
            </w:r>
          </w:p>
        </w:tc>
        <w:tc>
          <w:tcPr>
            <w:tcW w:type="dxa" w:w="2880"/>
          </w:tcPr>
          <w:p>
            <w:r>
              <w:t>HIGH</w:t>
            </w:r>
          </w:p>
        </w:tc>
        <w:tc>
          <w:tcPr>
            <w:tcW w:type="dxa" w:w="2880"/>
          </w:tcPr>
          <w:p>
            <w:r>
              <w:t>Extended drift window. Standing execution paths across all clinical data categories. No authority decay, so privilege creep compounds.</w:t>
            </w:r>
          </w:p>
        </w:tc>
      </w:tr>
      <w:tr>
        <w:tc>
          <w:tcPr>
            <w:tcW w:type="dxa" w:w="2880"/>
          </w:tcPr>
          <w:p>
            <w:r>
              <w:t>Gated Substrate</w:t>
            </w:r>
          </w:p>
        </w:tc>
        <w:tc>
          <w:tcPr>
            <w:tcW w:type="dxa" w:w="2880"/>
          </w:tcPr>
          <w:p>
            <w:r>
              <w:t>HIGH</w:t>
            </w:r>
          </w:p>
        </w:tc>
        <w:tc>
          <w:tcPr>
            <w:tcW w:type="dxa" w:w="2880"/>
          </w:tcPr>
          <w:p>
            <w:r>
              <w:t>PHI workloads sharing an execution environment with non-clinical scheduling. No isolation between patient data categories.</w:t>
            </w:r>
          </w:p>
        </w:tc>
      </w:tr>
    </w:tbl>
    <w:p>
      <w:pPr>
        <w:spacing w:before="280" w:after="80"/>
      </w:pPr>
      <w:r>
        <w:rPr>
          <w:b/>
          <w:color w:val="B87333"/>
          <w:sz w:val="28"/>
        </w:rPr>
        <w:t>4. Enforcement Gates by Layer</w:t>
      </w:r>
    </w:p>
    <w:p>
      <w:pPr>
        <w:spacing w:before="160" w:after="40"/>
      </w:pPr>
      <w:r>
        <w:rPr>
          <w:b/>
          <w:sz w:val="22"/>
        </w:rPr>
        <w:t>Authority Gate (Layer 1)</w:t>
      </w:r>
    </w:p>
    <w:p>
      <w:pPr>
        <w:pStyle w:val="ListBullet"/>
      </w:pPr>
      <w:r>
        <w:t>All clinical data access gated through verified authority tokens tied to clinical staff credentials</w:t>
      </w:r>
    </w:p>
    <w:p>
      <w:pPr>
        <w:pStyle w:val="ListBullet"/>
      </w:pPr>
      <w:r>
        <w:t>Triage decisioning requires dual-authority verification before patient pathway routing</w:t>
      </w:r>
    </w:p>
    <w:p>
      <w:pPr>
        <w:pStyle w:val="ListBullet"/>
      </w:pPr>
      <w:r>
        <w:t>Fail-closed: unverified clinical intent halts the scheduling pipeline immediately</w:t>
      </w:r>
    </w:p>
    <w:p>
      <w:pPr>
        <w:spacing w:before="160" w:after="40"/>
      </w:pPr>
      <w:r>
        <w:rPr>
          <w:b/>
          <w:sz w:val="22"/>
        </w:rPr>
        <w:t>Immutable Receipts (Layer 2)</w:t>
      </w:r>
    </w:p>
    <w:p>
      <w:pPr>
        <w:pStyle w:val="ListBullet"/>
      </w:pPr>
      <w:r>
        <w:t>Every PHI access and scheduling mutation attested with a cryptographic receipt</w:t>
      </w:r>
    </w:p>
    <w:p>
      <w:pPr>
        <w:pStyle w:val="ListBullet"/>
      </w:pPr>
      <w:r>
        <w:t>Receipt pipeline integrated with healthcare compliance monitoring</w:t>
      </w:r>
    </w:p>
    <w:p>
      <w:pPr>
        <w:pStyle w:val="ListBullet"/>
      </w:pPr>
      <w:r>
        <w:t>HIPAA-grade non-repudiation chain: every clinical data interaction traceable</w:t>
      </w:r>
    </w:p>
    <w:p>
      <w:pPr>
        <w:spacing w:before="160" w:after="40"/>
      </w:pPr>
      <w:r>
        <w:rPr>
          <w:b/>
          <w:sz w:val="22"/>
        </w:rPr>
        <w:t>Drift Guard (Layer 3)</w:t>
      </w:r>
    </w:p>
    <w:p>
      <w:pPr>
        <w:pStyle w:val="ListBullet"/>
      </w:pPr>
      <w:r>
        <w:t>Behavioral baselines established per clinical workflow category</w:t>
      </w:r>
    </w:p>
    <w:p>
      <w:pPr>
        <w:pStyle w:val="ListBullet"/>
      </w:pPr>
      <w:r>
        <w:t>Authority decay enforced: execution privileges expire and require re-authorization</w:t>
      </w:r>
    </w:p>
    <w:p>
      <w:pPr>
        <w:pStyle w:val="ListBullet"/>
      </w:pPr>
      <w:r>
        <w:t>Automated containment triggers freeze clinical scheduling on behavioral deviation</w:t>
      </w:r>
    </w:p>
    <w:p>
      <w:pPr>
        <w:spacing w:before="160" w:after="40"/>
      </w:pPr>
      <w:r>
        <w:rPr>
          <w:b/>
          <w:sz w:val="22"/>
        </w:rPr>
        <w:t>Gated Substrate (Layer 4)</w:t>
      </w:r>
    </w:p>
    <w:p>
      <w:pPr>
        <w:pStyle w:val="ListBullet"/>
      </w:pPr>
      <w:r>
        <w:t>PHI workloads isolated to a dedicated execution substrate with zero shared resources</w:t>
      </w:r>
    </w:p>
    <w:p>
      <w:pPr>
        <w:pStyle w:val="ListBullet"/>
      </w:pPr>
      <w:r>
        <w:t>Clinical scheduling agents cannot directly invoke triage pathway routing</w:t>
      </w:r>
    </w:p>
    <w:p>
      <w:pPr>
        <w:pStyle w:val="ListBullet"/>
      </w:pPr>
      <w:r>
        <w:t>Capability inventory: non-essential tool access revoked system-wide</w:t>
      </w:r>
    </w:p>
    <w:p>
      <w:pPr>
        <w:spacing w:before="280" w:after="80"/>
      </w:pPr>
      <w:r>
        <w:rPr>
          <w:b/>
          <w:color w:val="B87333"/>
          <w:sz w:val="28"/>
        </w:rPr>
        <w:t>5. Artifacts a Hardening Engagement Produces</w:t>
      </w:r>
    </w:p>
    <w:p>
      <w:r>
        <w:t>Artifact types delivered by this engagement pattern. Quantities depend on the environment assessed and are established during scoping, not asserted here.</w:t>
      </w:r>
    </w:p>
    <w:p>
      <w:pPr>
        <w:pStyle w:val="ListBullet"/>
      </w:pPr>
      <w:r>
        <w:t>Risk register: failure modes scored across the four enforcement layers</w:t>
      </w:r>
    </w:p>
    <w:p>
      <w:pPr>
        <w:pStyle w:val="ListBullet"/>
      </w:pPr>
      <w:r>
        <w:t>Controls map: enforcement points mapped to HIPAA security rule requirements</w:t>
      </w:r>
    </w:p>
    <w:p>
      <w:pPr>
        <w:pStyle w:val="ListBullet"/>
      </w:pPr>
      <w:r>
        <w:t>Evidence checklist: audit-ready artifacts for regulatory defensibility</w:t>
      </w:r>
    </w:p>
    <w:p>
      <w:pPr>
        <w:pStyle w:val="ListBullet"/>
      </w:pPr>
      <w:r>
        <w:t>Go/no-go deployment rubric with clinical safety gates per layer</w:t>
      </w:r>
    </w:p>
    <w:p>
      <w:pPr>
        <w:pStyle w:val="ListBullet"/>
      </w:pPr>
      <w:r>
        <w:t>Phased hardening roadmap for clinical workflow enforcement</w:t>
      </w:r>
    </w:p>
    <w:p>
      <w:pPr>
        <w:pStyle w:val="ListBullet"/>
      </w:pPr>
      <w:r>
        <w:t>Receipt samples: attestation chain examples covering PHI access patterns</w:t>
      </w:r>
    </w:p>
    <w:p>
      <w:pPr>
        <w:pStyle w:val="ListBullet"/>
      </w:pPr>
      <w:r>
        <w:t>Drift Guard baselines: documented behavioral parameters per clinical agent category</w:t>
      </w:r>
    </w:p>
    <w:p>
      <w:pPr>
        <w:spacing w:before="280" w:after="80"/>
      </w:pPr>
      <w:r>
        <w:rPr>
          <w:b/>
          <w:color w:val="B87333"/>
          <w:sz w:val="28"/>
        </w:rPr>
        <w:t>6. What This Document Does Not Claim</w:t>
      </w:r>
    </w:p>
    <w:p>
      <w:pPr>
        <w:pStyle w:val="ListBullet"/>
      </w:pPr>
      <w:r>
        <w:t>No client is described, named, or anonymized here. The scenario is a composite pattern.</w:t>
      </w:r>
    </w:p>
    <w:p>
      <w:pPr>
        <w:pStyle w:val="ListBullet"/>
      </w:pPr>
      <w:r>
        <w:t>No before-and-after metrics, ROI multiples, or monetary risk estimates are asserted.</w:t>
      </w:r>
    </w:p>
    <w:p>
      <w:pPr>
        <w:pStyle w:val="ListBullet"/>
      </w:pPr>
      <w:r>
        <w:t>Control effectiveness is described by design intent, not by measured result.</w:t>
      </w:r>
    </w:p>
    <w:p>
      <w:pPr>
        <w:pStyle w:val="ListBullet"/>
      </w:pPr>
      <w:r>
        <w:t>Any engagement would produce its own findings; nothing here is a projection of them.</w:t>
      </w:r>
    </w:p>
    <w:p>
      <w:pPr>
        <w:spacing w:before="360" w:after="80"/>
      </w:pPr>
      <w:r>
        <w:rPr>
          <w:b/>
          <w:color w:val="B87333"/>
          <w:sz w:val="24"/>
        </w:rPr>
        <w:t>Runtime Governance Readiness Scan</w:t>
      </w:r>
    </w:p>
    <w:p>
      <w:r>
        <w:t>orionintelligenceagency.com/book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