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b/>
          <w:color w:val="B87333"/>
          <w:sz w:val="22"/>
        </w:rPr>
        <w:t>RUNTIME GOVERNANCE REFERENCE ARCHITECTURE</w:t>
      </w:r>
    </w:p>
    <w:p>
      <w:pPr>
        <w:spacing w:before="40" w:after="0"/>
      </w:pPr>
      <w:r>
        <w:rPr>
          <w:b/>
          <w:sz w:val="48"/>
        </w:rPr>
        <w:t>Financial Services</w:t>
      </w:r>
    </w:p>
    <w:p>
      <w:pPr>
        <w:spacing w:before="0" w:after="160"/>
      </w:pPr>
      <w:r>
        <w:rPr>
          <w:b w:val="0"/>
          <w:color w:val="334155"/>
          <w:sz w:val="26"/>
        </w:rPr>
        <w:t>Agentic Document Processing</w:t>
      </w:r>
    </w:p>
    <w:p>
      <w:r>
        <w:rPr>
          <w:color w:val="334155"/>
          <w:sz w:val="18"/>
        </w:rPr>
        <w:t>Reference pattern  |  Dan Mercede  |  Orion Intelligence Agency</w:t>
      </w:r>
    </w:p>
    <w:p>
      <w:pPr>
        <w:spacing w:before="200"/>
      </w:pPr>
      <w:r>
        <w:rPr>
          <w:i/>
          <w:color w:val="334155"/>
          <w:sz w:val="19"/>
        </w:rPr>
        <w:t>This document is an illustrative reference architecture. It describes a governance failure pattern and the enforcement controls that address it. It is not a record of a client engagement. It contains no measured outcomes, no client data, and no performance, cost, or risk-reduction claims.</w:t>
      </w:r>
    </w:p>
    <w:p>
      <w:pPr>
        <w:spacing w:before="280" w:after="80"/>
      </w:pPr>
      <w:r>
        <w:rPr>
          <w:b/>
          <w:color w:val="B87333"/>
          <w:sz w:val="28"/>
        </w:rPr>
        <w:t>1. Scenario</w:t>
      </w:r>
    </w:p>
    <w:p>
      <w:r>
        <w:t>An organization deploys agentic workflows for loan document processing with autonomous decisioning. The agents process applications, extract data, validate documents, and trigger downstream mutations including credit checks and preliminary approvals.</w:t>
      </w:r>
    </w:p>
    <w:p>
      <w:r>
        <w:t>Governance gap: no authority gate sits between agent intent and state mutation. Agents execute document processing actions without verifiable authorization. Mutation receipts are limited to application-level logs with no cryptographic attestation, so unauthorized data mutations surface only during periodic audit rather than at execution time.</w:t>
      </w:r>
    </w:p>
    <w:p>
      <w:r>
        <w:t>Exposure profile: uncontrolled document processing creates SOC 2 Type II audit exposure, regulatory liability for unauthorized mutations on customer financial records, and a compounding review burden as compliance staff inspect agent actions after the fact.</w:t>
      </w:r>
    </w:p>
    <w:p>
      <w:pPr>
        <w:spacing w:before="280" w:after="80"/>
      </w:pPr>
      <w:r>
        <w:rPr>
          <w:b/>
          <w:color w:val="B87333"/>
          <w:sz w:val="28"/>
        </w:rPr>
        <w:t>2. Risk Constraints</w:t>
      </w:r>
    </w:p>
    <w:p>
      <w:pPr>
        <w:pStyle w:val="ListBullet"/>
      </w:pPr>
      <w:r>
        <w:t>SOC 2 Type II certification at risk due to insufficient AI execution controls</w:t>
      </w:r>
    </w:p>
    <w:p>
      <w:pPr>
        <w:pStyle w:val="ListBullet"/>
      </w:pPr>
      <w:r>
        <w:t>Federal financial services regulations governing automated decisioning on customer data</w:t>
      </w:r>
    </w:p>
    <w:p>
      <w:pPr>
        <w:pStyle w:val="ListBullet"/>
      </w:pPr>
      <w:r>
        <w:t>Customer data integrity risk across loan documents containing PII and financial records</w:t>
      </w:r>
    </w:p>
    <w:p>
      <w:pPr>
        <w:pStyle w:val="ListBullet"/>
      </w:pPr>
      <w:r>
        <w:t>Blast radius: unauthorized mutation of loan data affecting downstream approval pipelines</w:t>
      </w:r>
    </w:p>
    <w:p>
      <w:pPr>
        <w:spacing w:before="280" w:after="80"/>
      </w:pPr>
      <w:r>
        <w:rPr>
          <w:b/>
          <w:color w:val="B87333"/>
          <w:sz w:val="28"/>
        </w:rPr>
        <w:t>3. Failure-Mode Heatmap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72"/>
        <w:gridCol w:w="1296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Layer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Severity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Failure Modes</w:t>
            </w:r>
          </w:p>
        </w:tc>
      </w:tr>
      <w:tr>
        <w:tc>
          <w:tcPr>
            <w:tcW w:type="dxa" w:w="2880"/>
          </w:tcPr>
          <w:p>
            <w:r>
              <w:t>Authority Gate</w:t>
            </w:r>
          </w:p>
        </w:tc>
        <w:tc>
          <w:tcPr>
            <w:tcW w:type="dxa" w:w="2880"/>
          </w:tcPr>
          <w:p>
            <w:r>
              <w:t>CRITICAL</w:t>
            </w:r>
          </w:p>
        </w:tc>
        <w:tc>
          <w:tcPr>
            <w:tcW w:type="dxa" w:w="2880"/>
          </w:tcPr>
          <w:p>
            <w:r>
              <w:t>Agents executing loan mutations without IAM-verified authorization. No intent boundary between document extraction and downstream state changes.</w:t>
            </w:r>
          </w:p>
        </w:tc>
      </w:tr>
      <w:tr>
        <w:tc>
          <w:tcPr>
            <w:tcW w:type="dxa" w:w="2880"/>
          </w:tcPr>
          <w:p>
            <w:r>
              <w:t>Immutable Receipts</w:t>
            </w:r>
          </w:p>
        </w:tc>
        <w:tc>
          <w:tcPr>
            <w:tcW w:type="dxa" w:w="2880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Application logs only. No cryptographic attestation. Compliance unable to prove non-repudiation for a specific mutation.</w:t>
            </w:r>
          </w:p>
        </w:tc>
      </w:tr>
      <w:tr>
        <w:tc>
          <w:tcPr>
            <w:tcW w:type="dxa" w:w="2880"/>
          </w:tcPr>
          <w:p>
            <w:r>
              <w:t>Drift Guard</w:t>
            </w:r>
          </w:p>
        </w:tc>
        <w:tc>
          <w:tcPr>
            <w:tcW w:type="dxa" w:w="2880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Agent behavioral baselines never established. Extended drift windows with no detection. Privilege creep across document types.</w:t>
            </w:r>
          </w:p>
        </w:tc>
      </w:tr>
      <w:tr>
        <w:tc>
          <w:tcPr>
            <w:tcW w:type="dxa" w:w="2880"/>
          </w:tcPr>
          <w:p>
            <w:r>
              <w:t>Gated Substrate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PII workloads share an execution environment with non-PII processing. No workload isolation.</w:t>
            </w:r>
          </w:p>
        </w:tc>
      </w:tr>
    </w:tbl>
    <w:p>
      <w:pPr>
        <w:spacing w:before="280" w:after="80"/>
      </w:pPr>
      <w:r>
        <w:rPr>
          <w:b/>
          <w:color w:val="B87333"/>
          <w:sz w:val="28"/>
        </w:rPr>
        <w:t>4. Enforcement Gates by Layer</w:t>
      </w:r>
    </w:p>
    <w:p>
      <w:pPr>
        <w:spacing w:before="160" w:after="40"/>
      </w:pPr>
      <w:r>
        <w:rPr>
          <w:b/>
          <w:sz w:val="22"/>
        </w:rPr>
        <w:t>Authority Gate (Layer 1)</w:t>
      </w:r>
    </w:p>
    <w:p>
      <w:pPr>
        <w:pStyle w:val="ListBullet"/>
      </w:pPr>
      <w:r>
        <w:t>Policy gating engine integrated with existing IAM infrastructure</w:t>
      </w:r>
    </w:p>
    <w:p>
      <w:pPr>
        <w:pStyle w:val="ListBullet"/>
      </w:pPr>
      <w:r>
        <w:t>Every loan document mutation requires a verified authority token before execution</w:t>
      </w:r>
    </w:p>
    <w:p>
      <w:pPr>
        <w:pStyle w:val="ListBullet"/>
      </w:pPr>
      <w:r>
        <w:t>Fail-closed configuration: unverified intent halts the execution pipeline</w:t>
      </w:r>
    </w:p>
    <w:p>
      <w:pPr>
        <w:spacing w:before="160" w:after="40"/>
      </w:pPr>
      <w:r>
        <w:rPr>
          <w:b/>
          <w:sz w:val="22"/>
        </w:rPr>
        <w:t>Immutable Receipts (Layer 2)</w:t>
      </w:r>
    </w:p>
    <w:p>
      <w:pPr>
        <w:pStyle w:val="ListBullet"/>
      </w:pPr>
      <w:r>
        <w:t>Receipt pipeline with cryptographic attestation for every state change</w:t>
      </w:r>
    </w:p>
    <w:p>
      <w:pPr>
        <w:pStyle w:val="ListBullet"/>
      </w:pPr>
      <w:r>
        <w:t>SIEM integration for real-time receipt ingestion and alerting</w:t>
      </w:r>
    </w:p>
    <w:p>
      <w:pPr>
        <w:pStyle w:val="ListBullet"/>
      </w:pPr>
      <w:r>
        <w:t>Non-repudiation chain: every mutation traceable to an authorizing principal</w:t>
      </w:r>
    </w:p>
    <w:p>
      <w:pPr>
        <w:spacing w:before="160" w:after="40"/>
      </w:pPr>
      <w:r>
        <w:rPr>
          <w:b/>
          <w:sz w:val="22"/>
        </w:rPr>
        <w:t>Drift Guard (Layer 3)</w:t>
      </w:r>
    </w:p>
    <w:p>
      <w:pPr>
        <w:pStyle w:val="ListBullet"/>
      </w:pPr>
      <w:r>
        <w:t>Behavioral baselines established per agent workflow</w:t>
      </w:r>
    </w:p>
    <w:p>
      <w:pPr>
        <w:pStyle w:val="ListBullet"/>
      </w:pPr>
      <w:r>
        <w:t>Authority decay intervals enforced: no standing execution paths beyond the baseline window</w:t>
      </w:r>
    </w:p>
    <w:p>
      <w:pPr>
        <w:pStyle w:val="ListBullet"/>
      </w:pPr>
      <w:r>
        <w:t>Automated freeze triggers on behavioral deviation beyond threshold</w:t>
      </w:r>
    </w:p>
    <w:p>
      <w:pPr>
        <w:spacing w:before="160" w:after="40"/>
      </w:pPr>
      <w:r>
        <w:rPr>
          <w:b/>
          <w:sz w:val="22"/>
        </w:rPr>
        <w:t>Gated Substrate (Layer 4)</w:t>
      </w:r>
    </w:p>
    <w:p>
      <w:pPr>
        <w:pStyle w:val="ListBullet"/>
      </w:pPr>
      <w:r>
        <w:t>PII workloads isolated to a dedicated execution substrate</w:t>
      </w:r>
    </w:p>
    <w:p>
      <w:pPr>
        <w:pStyle w:val="ListBullet"/>
      </w:pPr>
      <w:r>
        <w:t>Tool boundary redesign: document extraction agents cannot directly invoke approval pipelines</w:t>
      </w:r>
    </w:p>
    <w:p>
      <w:pPr>
        <w:pStyle w:val="ListBullet"/>
      </w:pPr>
      <w:r>
        <w:t>Capability inventory: unused tool access revoked across all agent profiles</w:t>
      </w:r>
    </w:p>
    <w:p>
      <w:pPr>
        <w:spacing w:before="280" w:after="80"/>
      </w:pPr>
      <w:r>
        <w:rPr>
          <w:b/>
          <w:color w:val="B87333"/>
          <w:sz w:val="28"/>
        </w:rPr>
        <w:t>5. Artifacts a Hardening Engagement Produces</w:t>
      </w:r>
    </w:p>
    <w:p>
      <w:r>
        <w:t>Artifact types delivered by this engagement pattern. Quantities depend on the environment assessed and are established during scoping, not asserted here.</w:t>
      </w:r>
    </w:p>
    <w:p>
      <w:pPr>
        <w:pStyle w:val="ListBullet"/>
      </w:pPr>
      <w:r>
        <w:t>Risk register: failure modes scored across the four enforcement layers</w:t>
      </w:r>
    </w:p>
    <w:p>
      <w:pPr>
        <w:pStyle w:val="ListBullet"/>
      </w:pPr>
      <w:r>
        <w:t>Controls map: enforcement points mapped to SOC 2 control objectives</w:t>
      </w:r>
    </w:p>
    <w:p>
      <w:pPr>
        <w:pStyle w:val="ListBullet"/>
      </w:pPr>
      <w:r>
        <w:t>Evidence checklist: audit-ready artifacts cataloged and indexed</w:t>
      </w:r>
    </w:p>
    <w:p>
      <w:pPr>
        <w:pStyle w:val="ListBullet"/>
      </w:pPr>
      <w:r>
        <w:t>Go/no-go deployment rubric with enforcement gate status per layer</w:t>
      </w:r>
    </w:p>
    <w:p>
      <w:pPr>
        <w:pStyle w:val="ListBullet"/>
      </w:pPr>
      <w:r>
        <w:t>Phased hardening roadmap with enforcement milestones</w:t>
      </w:r>
    </w:p>
    <w:p>
      <w:pPr>
        <w:pStyle w:val="ListBullet"/>
      </w:pPr>
      <w:r>
        <w:t>Receipt samples: attestation chain examples for auditor review</w:t>
      </w:r>
    </w:p>
    <w:p>
      <w:pPr>
        <w:pStyle w:val="ListBullet"/>
      </w:pPr>
      <w:r>
        <w:t>Drift Guard configuration documentation with baseline parameters</w:t>
      </w:r>
    </w:p>
    <w:p>
      <w:pPr>
        <w:spacing w:before="280" w:after="80"/>
      </w:pPr>
      <w:r>
        <w:rPr>
          <w:b/>
          <w:color w:val="B87333"/>
          <w:sz w:val="28"/>
        </w:rPr>
        <w:t>6. What This Document Does Not Claim</w:t>
      </w:r>
    </w:p>
    <w:p>
      <w:pPr>
        <w:pStyle w:val="ListBullet"/>
      </w:pPr>
      <w:r>
        <w:t>No client is described, named, or anonymized here. The scenario is a composite pattern.</w:t>
      </w:r>
    </w:p>
    <w:p>
      <w:pPr>
        <w:pStyle w:val="ListBullet"/>
      </w:pPr>
      <w:r>
        <w:t>No before-and-after metrics, ROI multiples, or monetary risk estimates are asserted.</w:t>
      </w:r>
    </w:p>
    <w:p>
      <w:pPr>
        <w:pStyle w:val="ListBullet"/>
      </w:pPr>
      <w:r>
        <w:t>Control effectiveness is described by design intent, not by measured result.</w:t>
      </w:r>
    </w:p>
    <w:p>
      <w:pPr>
        <w:pStyle w:val="ListBullet"/>
      </w:pPr>
      <w:r>
        <w:t>Any engagement would produce its own findings; nothing here is a projection of them.</w:t>
      </w:r>
    </w:p>
    <w:p>
      <w:pPr>
        <w:spacing w:before="360" w:after="80"/>
      </w:pPr>
      <w:r>
        <w:rPr>
          <w:b/>
          <w:color w:val="B87333"/>
          <w:sz w:val="24"/>
        </w:rPr>
        <w:t>Runtime Governance Readiness Scan</w:t>
      </w:r>
    </w:p>
    <w:p>
      <w:r>
        <w:t>orionintelligenceagency.com/book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