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aps/>
          <w:color w:val="B87333"/>
          <w:sz w:val="28"/>
          <w:szCs w:val="28"/>
        </w:rPr>
        <w:t xml:space="preserve">RUNTIME GOVERNANCE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F172A"/>
          <w:sz w:val="44"/>
          <w:szCs w:val="44"/>
        </w:rPr>
        <w:t xml:space="preserve">CASE STUDY TEMPLATE</w:t>
      </w:r>
    </w:p>
    <w:p>
      <w:pPr>
        <w:spacing w:after="12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B87333" w:sz="3"/>
              <w:right w:val="none" w:color="FFFFFF" w:sz="0"/>
            </w:tcBorders>
            <w:shd w:fill="FFFFFF" w:val="clear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after="80"/>
        <w:jc w:val="center"/>
      </w:pPr>
      <w:r>
        <w:rPr>
          <w:rFonts w:ascii="Arial" w:cs="Arial" w:eastAsia="Arial" w:hAnsi="Arial"/>
          <w:color w:val="334155"/>
          <w:sz w:val="22"/>
          <w:szCs w:val="22"/>
        </w:rPr>
        <w:t xml:space="preserve">Eight-Section Enforcement Stack Analysis</w:t>
      </w:r>
    </w:p>
    <w:p>
      <w:pPr>
        <w:spacing w:after="40"/>
        <w:jc w:val="center"/>
      </w:pPr>
      <w:r>
        <w:rPr>
          <w:rFonts w:ascii="Arial" w:cs="Arial" w:eastAsia="Arial" w:hAnsi="Arial"/>
          <w:color w:val="334155"/>
          <w:sz w:val="18"/>
          <w:szCs w:val="18"/>
        </w:rPr>
        <w:t xml:space="preserve">Dan Mercede  |  Orion Intelligence Agency</w:t>
      </w:r>
    </w:p>
    <w:p>
      <w:pPr>
        <w:spacing w:after="400"/>
      </w:pPr>
    </w:p>
    <w:p>
      <w:pPr>
        <w:spacing w:after="120"/>
      </w:pPr>
      <w:r>
        <w:rPr>
          <w:rFonts w:ascii="Arial" w:cs="Arial" w:eastAsia="Arial" w:hAnsi="Arial"/>
          <w:color w:val="334155"/>
          <w:sz w:val="20"/>
          <w:szCs w:val="20"/>
        </w:rPr>
        <w:t xml:space="preserve">This template provides the fixed eight-section structure for documenting Runtime Governance engagements. Each section maps directly to the four-layer enforcement stack and produces artifacts suitable for executive review, audit evidence, and commercial proof.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1: Problem Statement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Document the business context, agentic workflows deployed, and the specific governance gap.</w:t>
      </w:r>
    </w:p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Required Elements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Industry and organizational context (anonymized)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Agentic workflows in scope (what AI systems are doing autonomously)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Specific governance failure: unauthorized state mutation, missing audit trail, escalation burden, drift incidents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Business impact: financial exposure, regulatory risk, operational blast radius</w:t>
      </w:r>
    </w:p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Enforcement Layer Mapping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Identify which enforcement layers were absent or insufficient: Authority Gate, Immutable Receipts, Drift Guard, Gated Substrate.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2: Risk Constraints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Map the regulatory and compliance environment constraining the engagement.</w:t>
      </w:r>
    </w:p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Required Elements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Regulatory frameworks in scope (SOC 2, ISO 42001, HIPAA, EU AI Act, industry-specific)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Compliance requirements affecting execution paths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Blast radius estimate if governance fails (financial, reputational, regulatory)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Financial exposure calculation methodology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3: Baseline KPIs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Capture pre-engagement metrics across standard dimensions.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Baseline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Post-Engagement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Delta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Cost Per Successful Task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[$ amount]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Escalation Rate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[%]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Cycle Time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[hours/days]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Audit Coverage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[%]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Drift Incidents / Month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[count]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Manual Oversight Hours / Week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[hours]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4: Failure-Mode Heatmap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Categorize failure modes by enforcement layer and severity.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Enforcement Layer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Failure Modes Identified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Authority Gate (Layer 1)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[Unauthorized execution paths, missing intent verification, ...]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Immutable Receipts (Layer 2)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[Missing mutation attestation, logs without cryptographic proof, ...]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Drift Guard (Layer 3)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[Behavioral drift undetected, privilege creep, standing execution paths, ...]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Gated Substrate (Layer 4)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[Shared execution environments, tool boundary violations, ...]</w:t>
            </w:r>
          </w:p>
        </w:tc>
      </w:tr>
    </w:tbl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Severity Scoring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Critical: Irreversible state mutation with no recovery path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High: Regulatory exposure or financial impact exceeding threshold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Medium: Operational degradation without immediate blast radius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Low: Monitoring gap with existing compensating controls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5: Gates / Guardrails Added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Document specific enforcement points implemented per layer.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Layer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Enforcement Points Implemented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Authority Gate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[Policy gating configurations, IAM integration, intent verification rules]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Immutable Receipts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[Receipt pipeline, SIEM integration, attestation format, non-repudiation chain]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Drift Guard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[Behavioral baseline duration, authority decay intervals, containment triggers]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Gated Substrate</w:t>
            </w:r>
          </w:p>
        </w:tc>
        <w:tc>
          <w:tcPr>
            <w:tcW w:type="dxa" w:w="636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[Workload isolation topology, tool boundary redesign, capability removal inventory]</w:t>
            </w:r>
          </w:p>
        </w:tc>
      </w:tr>
    </w:tbl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6: Evidence Shipped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Catalog all artifacts produced during the engagement.</w:t>
      </w:r>
    </w:p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Standard Evidence Artifacts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Risk register with severity-scored failure modes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Controls map aligned to enforcement stack layers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Evidence checklist for audit defensibility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Go/no-go deployment rubric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30/60/90-day hardening roadmap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Receipt samples demonstrating attestation chain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Drift Guard configuration documentation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7: Post-Engagement KPIs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Capture post-engagement metrics and calculate deltas.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Baseline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Post-Engagement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E293B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Delta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Cost Per Successful Task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Escalation Rate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Cycle Time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Audit Coverage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Drift Incidents / Month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  <w:tr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8"/>
                <w:szCs w:val="18"/>
              </w:rPr>
              <w:t xml:space="preserve">Manual Oversight Hours / Week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[baseline]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F172A"/>
                <w:sz w:val="18"/>
                <w:szCs w:val="18"/>
              </w:rPr>
              <w:t xml:space="preserve">[post]</w:t>
            </w:r>
          </w:p>
        </w:tc>
        <w:tc>
          <w:tcPr>
            <w:tcW w:type="dxa" w:w="234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</w:tcPr>
          <w:p>
            <w:pPr>
              <w:spacing w:before="40" w:after="40"/>
              <w:jc w:val="center"/>
            </w:pPr>
            <w:r>
              <w:rPr>
                <w:rFonts w:ascii="Arial" w:cs="Arial" w:eastAsia="Arial" w:hAnsi="Arial"/>
                <w:b/>
                <w:bCs/>
                <w:color w:val="B87333"/>
                <w:sz w:val="18"/>
                <w:szCs w:val="18"/>
              </w:rPr>
              <w:t xml:space="preserve">[delta]</w:t>
            </w:r>
          </w:p>
        </w:tc>
      </w:tr>
    </w:tbl>
    <w:p>
      <w:pPr>
        <w:spacing w:after="200"/>
      </w:pPr>
    </w:p>
    <w:p>
      <w:pPr>
        <w:pStyle w:val="Heading3"/>
        <w:spacing w:before="160" w:after="80"/>
      </w:pPr>
      <w:r>
        <w:rPr>
          <w:rFonts w:ascii="Arial" w:cs="Arial" w:eastAsia="Arial" w:hAnsi="Arial"/>
          <w:b/>
          <w:bCs/>
          <w:color w:val="334155"/>
          <w:sz w:val="22"/>
          <w:szCs w:val="22"/>
        </w:rPr>
        <w:t xml:space="preserve">ROI Scorecard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Annualized risk reduction: $[amount]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Audit defensibility status: [established / improved / maintained]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Regulatory compliance impact: [specific findings or certifications]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Arial" w:cs="Arial" w:eastAsia="Arial" w:hAnsi="Arial"/>
          <w:b/>
          <w:bCs/>
          <w:color w:val="B87333"/>
          <w:sz w:val="32"/>
          <w:szCs w:val="32"/>
        </w:rPr>
        <w:t xml:space="preserve">Section 8: Executive Summary Slide</w:t>
      </w:r>
    </w:p>
    <w:p>
      <w:pPr>
        <w:spacing w:after="12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Single-slide visual for executive consumption. Include:</w:t>
      </w:r>
    </w:p>
    <w:p>
      <w:pPr>
        <w:spacing w:after="200"/>
      </w:pP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Before/after metrics (3 headline numbers)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Enforcement stack layers implemented (visual)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ROI headline (single sentence)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CTA: Schedule Your Runtime Governance Readiness Scan</w:t>
      </w:r>
    </w:p>
    <w:p>
      <w:pPr>
        <w:spacing w:after="20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B87333" w:sz="3"/>
              <w:right w:val="none" w:color="FFFFFF" w:sz="0"/>
            </w:tcBorders>
            <w:shd w:fill="FFFFFF" w:val="clear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jc w:val="center"/>
      </w:pPr>
      <w:r>
        <w:rPr>
          <w:rFonts w:ascii="Arial" w:cs="Arial" w:eastAsia="Arial" w:hAnsi="Arial"/>
          <w:b/>
          <w:bCs/>
          <w:color w:val="B87333"/>
          <w:sz w:val="20"/>
          <w:szCs w:val="20"/>
        </w:rPr>
        <w:t xml:space="preserve">orionintelligenceagency.com/book</w:t>
      </w:r>
    </w:p>
    <w:sectPr>
      <w:headerReference w:type="default" r:id="rId6"/>
      <w:footerReference w:type="default" r:id="rId7"/>
      <w:pgSz w:w="12240" w:h="15840" w:orient="portrait"/>
      <w:pgMar w:top="1440" w:right="1727" w:bottom="1440" w:left="172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334155"/>
        <w:sz w:val="14"/>
        <w:szCs w:val="14"/>
      </w:rPr>
      <w:t xml:space="preserve">Dan Mercede  |  Orion Intelligence Agency  | 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334155"/>
        <w:sz w:val="14"/>
        <w:szCs w:val="14"/>
      </w:rPr>
      <w:t xml:space="preserve">Case Study Template  |  Runtime Governance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2026-02-17T07:31:30.613Z</dcterms:created>
  <dcterms:modified xsi:type="dcterms:W3CDTF">2026-02-17T07:31:30.613Z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